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0E1FE" w14:textId="193DCF9B" w:rsidR="00C441F2" w:rsidRPr="00170F69" w:rsidRDefault="00086428" w:rsidP="008B14C4">
      <w:pPr>
        <w:pStyle w:val="Title"/>
      </w:pPr>
      <w:bookmarkStart w:id="0" w:name="_Hlk80973662"/>
      <w:r w:rsidRPr="00170F69">
        <w:t xml:space="preserve">2021-22 State Budget and President’s Allocations </w:t>
      </w:r>
    </w:p>
    <w:p w14:paraId="7B7D2106" w14:textId="605CB4B0" w:rsidR="00C441F2" w:rsidRPr="00170F69" w:rsidRDefault="00C441F2" w:rsidP="003319F1">
      <w:pPr>
        <w:pStyle w:val="Heading1"/>
        <w:tabs>
          <w:tab w:val="left" w:pos="3443"/>
        </w:tabs>
        <w:rPr>
          <w:sz w:val="32"/>
        </w:rPr>
      </w:pPr>
      <w:r w:rsidRPr="00170F69">
        <w:rPr>
          <w:sz w:val="32"/>
        </w:rPr>
        <w:t>Summary</w:t>
      </w:r>
    </w:p>
    <w:p w14:paraId="30A3D1FC" w14:textId="77777777" w:rsidR="00086428" w:rsidRPr="00086428" w:rsidRDefault="00086428" w:rsidP="00086428">
      <w:pPr>
        <w:pStyle w:val="ListParagraph"/>
        <w:numPr>
          <w:ilvl w:val="0"/>
          <w:numId w:val="8"/>
        </w:numPr>
        <w:autoSpaceDE w:val="0"/>
        <w:autoSpaceDN w:val="0"/>
        <w:adjustRightInd w:val="0"/>
        <w:contextualSpacing w:val="0"/>
        <w:rPr>
          <w:rFonts w:cs="Arial"/>
        </w:rPr>
      </w:pPr>
      <w:bookmarkStart w:id="1" w:name="_Hlk81238133"/>
      <w:r w:rsidRPr="00086428">
        <w:rPr>
          <w:rFonts w:cs="Arial"/>
        </w:rPr>
        <w:t>The 2021 State Budget Act provides UC with a base budget increase of $547.9 million, including $302.4 million to restore cuts to the University’s budget made in 2020-21. In addition, the Budget Act approves $728.6 million in one-time funding for a variety of University programs, including $325 million for deferred maintenance needs across the system.</w:t>
      </w:r>
    </w:p>
    <w:p w14:paraId="0A68D752" w14:textId="14519064" w:rsidR="00C441F2" w:rsidRPr="00086428" w:rsidRDefault="00086428" w:rsidP="00086428">
      <w:pPr>
        <w:pStyle w:val="ListParagraph"/>
        <w:numPr>
          <w:ilvl w:val="0"/>
          <w:numId w:val="8"/>
        </w:numPr>
        <w:contextualSpacing w:val="0"/>
        <w:rPr>
          <w:rFonts w:cs="Arial"/>
          <w:color w:val="052049"/>
          <w:szCs w:val="20"/>
        </w:rPr>
      </w:pPr>
      <w:r>
        <w:rPr>
          <w:rFonts w:cs="Arial"/>
          <w:color w:val="052049"/>
          <w:szCs w:val="20"/>
        </w:rPr>
        <w:t>UCSF will receive a net increase of $32.1 million in recurring State support and an additional $37.3 million of one-time support</w:t>
      </w:r>
      <w:r w:rsidR="002A2556" w:rsidRPr="00086428">
        <w:rPr>
          <w:rFonts w:cs="Arial"/>
          <w:color w:val="052049"/>
          <w:szCs w:val="20"/>
        </w:rPr>
        <w:t>.</w:t>
      </w:r>
    </w:p>
    <w:p w14:paraId="73192D3E" w14:textId="376015EB" w:rsidR="00C441F2" w:rsidRPr="00086428" w:rsidRDefault="00086428" w:rsidP="00086428">
      <w:pPr>
        <w:pStyle w:val="ListParagraph"/>
        <w:numPr>
          <w:ilvl w:val="0"/>
          <w:numId w:val="8"/>
        </w:numPr>
        <w:contextualSpacing w:val="0"/>
        <w:rPr>
          <w:rFonts w:cs="Arial"/>
          <w:color w:val="052049"/>
          <w:szCs w:val="20"/>
        </w:rPr>
      </w:pPr>
      <w:r>
        <w:rPr>
          <w:rFonts w:cs="Arial"/>
          <w:color w:val="052049"/>
          <w:szCs w:val="20"/>
        </w:rPr>
        <w:t xml:space="preserve">UCSF continues to be excluded from actions related to </w:t>
      </w:r>
      <w:proofErr w:type="spellStart"/>
      <w:r>
        <w:rPr>
          <w:rFonts w:cs="Arial"/>
          <w:color w:val="052049"/>
          <w:szCs w:val="20"/>
        </w:rPr>
        <w:t>rebenching</w:t>
      </w:r>
      <w:proofErr w:type="spellEnd"/>
      <w:r w:rsidR="00CD2D85" w:rsidRPr="00086428">
        <w:rPr>
          <w:rFonts w:cs="Arial"/>
          <w:color w:val="052049"/>
          <w:szCs w:val="20"/>
        </w:rPr>
        <w:t xml:space="preserve">.  </w:t>
      </w:r>
    </w:p>
    <w:bookmarkEnd w:id="1"/>
    <w:p w14:paraId="5ED08EEE" w14:textId="77777777" w:rsidR="00086428" w:rsidRPr="008E5199" w:rsidRDefault="00086428" w:rsidP="00086428">
      <w:pPr>
        <w:pStyle w:val="Heading1"/>
        <w:rPr>
          <w:sz w:val="22"/>
          <w:szCs w:val="22"/>
        </w:rPr>
      </w:pPr>
      <w:r>
        <w:t>Recurring Allocations to UCSF</w:t>
      </w:r>
    </w:p>
    <w:p w14:paraId="02082DEF" w14:textId="74357AEE" w:rsidR="00086428" w:rsidRPr="00086428" w:rsidRDefault="00086428" w:rsidP="00086428">
      <w:pPr>
        <w:pStyle w:val="Mainbodycopy"/>
        <w:numPr>
          <w:ilvl w:val="0"/>
          <w:numId w:val="20"/>
        </w:numPr>
        <w:rPr>
          <w:rFonts w:cs="Arial"/>
        </w:rPr>
      </w:pPr>
      <w:r w:rsidRPr="00086428">
        <w:rPr>
          <w:rFonts w:cs="Arial"/>
          <w:b/>
          <w:bCs/>
        </w:rPr>
        <w:t>2020-21 Budget Cut Restoration:</w:t>
      </w:r>
      <w:r w:rsidRPr="00086428">
        <w:rPr>
          <w:rFonts w:cs="Arial"/>
        </w:rPr>
        <w:t xml:space="preserve"> The budget includes funding to restore the 2021-22 budget cut.  UCSF will receive $23.8 million.</w:t>
      </w:r>
      <w:r w:rsidR="00426518">
        <w:rPr>
          <w:rFonts w:cs="Arial"/>
        </w:rPr>
        <w:t xml:space="preserve">  These funds will flow to the Core Financial Plan to help fund this year’s pooled cost increases and approved funding requests.</w:t>
      </w:r>
    </w:p>
    <w:p w14:paraId="0ED6EBC4" w14:textId="0F093EBA" w:rsidR="00086428" w:rsidRPr="00BB08AA" w:rsidRDefault="00086428" w:rsidP="00086428">
      <w:pPr>
        <w:pStyle w:val="Mainbodycopy"/>
        <w:numPr>
          <w:ilvl w:val="0"/>
          <w:numId w:val="20"/>
        </w:numPr>
        <w:rPr>
          <w:rFonts w:cs="Arial"/>
          <w:highlight w:val="yellow"/>
        </w:rPr>
      </w:pPr>
      <w:commentRangeStart w:id="2"/>
      <w:r w:rsidRPr="00086428">
        <w:rPr>
          <w:rFonts w:cs="Arial"/>
          <w:b/>
          <w:bCs/>
        </w:rPr>
        <w:t>2021-22 Undesignated Increase:</w:t>
      </w:r>
      <w:r w:rsidRPr="00086428">
        <w:rPr>
          <w:rFonts w:cs="Arial"/>
        </w:rPr>
        <w:t xml:space="preserve">  To help address salary, benefit, and other cost increases, </w:t>
      </w:r>
      <w:r w:rsidRPr="00BB08AA">
        <w:rPr>
          <w:rFonts w:cs="Arial"/>
          <w:highlight w:val="yellow"/>
        </w:rPr>
        <w:t>UCSF will receive an increase of $6.75 million</w:t>
      </w:r>
      <w:r w:rsidR="009A4A74" w:rsidRPr="00BB08AA">
        <w:rPr>
          <w:rFonts w:cs="Arial"/>
          <w:highlight w:val="yellow"/>
        </w:rPr>
        <w:t>, consistent with the UCSF Corridor agreement</w:t>
      </w:r>
      <w:r w:rsidRPr="00BB08AA">
        <w:rPr>
          <w:rFonts w:cs="Arial"/>
          <w:highlight w:val="yellow"/>
        </w:rPr>
        <w:t>.</w:t>
      </w:r>
      <w:r w:rsidR="00426518" w:rsidRPr="00BB08AA">
        <w:rPr>
          <w:rFonts w:cs="Arial"/>
          <w:highlight w:val="yellow"/>
        </w:rPr>
        <w:t xml:space="preserve">  As with the restored budget cut, these funds will flow to the Core Financial Plan to help fund this year’s pooled cost increases and approved funding requests.</w:t>
      </w:r>
      <w:commentRangeEnd w:id="2"/>
      <w:r w:rsidR="003C01A8">
        <w:rPr>
          <w:rStyle w:val="CommentReference"/>
          <w:rFonts w:cstheme="minorBidi"/>
          <w:color w:val="auto"/>
          <w:spacing w:val="0"/>
          <w:lang w:val="en-US"/>
        </w:rPr>
        <w:commentReference w:id="2"/>
      </w:r>
    </w:p>
    <w:p w14:paraId="661F6BAF" w14:textId="093E2359" w:rsidR="00086428" w:rsidRPr="00086428" w:rsidRDefault="00086428" w:rsidP="00086428">
      <w:pPr>
        <w:pStyle w:val="Mainbodycopy"/>
        <w:numPr>
          <w:ilvl w:val="0"/>
          <w:numId w:val="20"/>
        </w:numPr>
        <w:rPr>
          <w:rFonts w:cs="Arial"/>
        </w:rPr>
      </w:pPr>
      <w:r w:rsidRPr="00086428">
        <w:rPr>
          <w:rFonts w:cs="Arial"/>
          <w:b/>
          <w:bCs/>
        </w:rPr>
        <w:t xml:space="preserve">PRIME </w:t>
      </w:r>
      <w:proofErr w:type="spellStart"/>
      <w:r w:rsidRPr="00086428">
        <w:rPr>
          <w:rFonts w:cs="Arial"/>
          <w:b/>
          <w:bCs/>
        </w:rPr>
        <w:t>Enrollment</w:t>
      </w:r>
      <w:proofErr w:type="spellEnd"/>
      <w:r w:rsidR="00D329F9">
        <w:rPr>
          <w:rFonts w:cs="Arial"/>
          <w:b/>
          <w:bCs/>
        </w:rPr>
        <w:t xml:space="preserve"> Funding</w:t>
      </w:r>
      <w:r w:rsidRPr="00086428">
        <w:rPr>
          <w:rFonts w:cs="Arial"/>
          <w:b/>
          <w:bCs/>
        </w:rPr>
        <w:t>:</w:t>
      </w:r>
      <w:r w:rsidRPr="00086428">
        <w:rPr>
          <w:rFonts w:cs="Arial"/>
        </w:rPr>
        <w:t xml:space="preserve">  </w:t>
      </w:r>
      <w:r w:rsidR="00170F69">
        <w:rPr>
          <w:rFonts w:cs="Arial"/>
        </w:rPr>
        <w:t xml:space="preserve">UCSF will receive $1.855 million of support </w:t>
      </w:r>
      <w:r w:rsidR="00D329F9">
        <w:rPr>
          <w:rFonts w:cs="Arial"/>
        </w:rPr>
        <w:t xml:space="preserve">for San Joaquin Valley (SJV) PRIME </w:t>
      </w:r>
      <w:r w:rsidR="00170F69">
        <w:rPr>
          <w:rFonts w:cs="Arial"/>
        </w:rPr>
        <w:t xml:space="preserve">plus </w:t>
      </w:r>
      <w:r w:rsidRPr="00086428">
        <w:rPr>
          <w:rFonts w:cs="Arial"/>
        </w:rPr>
        <w:t xml:space="preserve">$2.58 million for 65 </w:t>
      </w:r>
      <w:r w:rsidR="00170F69">
        <w:rPr>
          <w:rFonts w:cs="Arial"/>
        </w:rPr>
        <w:t xml:space="preserve">additional </w:t>
      </w:r>
      <w:r w:rsidRPr="00086428">
        <w:rPr>
          <w:rFonts w:cs="Arial"/>
        </w:rPr>
        <w:t xml:space="preserve">PRIME </w:t>
      </w:r>
      <w:r w:rsidR="00D329F9">
        <w:rPr>
          <w:rFonts w:cs="Arial"/>
        </w:rPr>
        <w:t xml:space="preserve">Urban Underserved </w:t>
      </w:r>
      <w:proofErr w:type="spellStart"/>
      <w:r w:rsidRPr="00086428">
        <w:rPr>
          <w:rFonts w:cs="Arial"/>
        </w:rPr>
        <w:t>enrollments</w:t>
      </w:r>
      <w:proofErr w:type="spellEnd"/>
      <w:r w:rsidRPr="00086428">
        <w:rPr>
          <w:rFonts w:cs="Arial"/>
        </w:rPr>
        <w:t xml:space="preserve">.  </w:t>
      </w:r>
    </w:p>
    <w:p w14:paraId="5E73133B" w14:textId="028F053D" w:rsidR="00086428" w:rsidRPr="00BB08AA" w:rsidRDefault="00086428" w:rsidP="00086428">
      <w:pPr>
        <w:pStyle w:val="Mainbodycopy"/>
        <w:numPr>
          <w:ilvl w:val="0"/>
          <w:numId w:val="20"/>
        </w:numPr>
        <w:rPr>
          <w:rFonts w:cs="Arial"/>
          <w:highlight w:val="yellow"/>
        </w:rPr>
      </w:pPr>
      <w:commentRangeStart w:id="3"/>
      <w:r w:rsidRPr="00BB08AA">
        <w:rPr>
          <w:rFonts w:cs="Arial"/>
          <w:b/>
          <w:bCs/>
          <w:highlight w:val="yellow"/>
        </w:rPr>
        <w:t>Student Mental Health:</w:t>
      </w:r>
      <w:r w:rsidRPr="00BB08AA">
        <w:rPr>
          <w:rFonts w:cs="Arial"/>
          <w:highlight w:val="yellow"/>
        </w:rPr>
        <w:t xml:space="preserve"> UCSF will receive $536,000 to support universal prevention, early intervention, and treatment services.  Allocation amounts were determined using a methodology that accounts for the base level of support required at each campus, an Equity Index (i.e., accounting for the mental health needs of underrepresented and food and housing insecure students), and </w:t>
      </w:r>
      <w:proofErr w:type="spellStart"/>
      <w:r w:rsidRPr="00BB08AA">
        <w:rPr>
          <w:rFonts w:cs="Arial"/>
          <w:highlight w:val="yellow"/>
        </w:rPr>
        <w:t>enrollment</w:t>
      </w:r>
      <w:proofErr w:type="spellEnd"/>
      <w:r w:rsidRPr="00BB08AA">
        <w:rPr>
          <w:rFonts w:cs="Arial"/>
          <w:highlight w:val="yellow"/>
        </w:rPr>
        <w:t xml:space="preserve"> levels.</w:t>
      </w:r>
      <w:commentRangeEnd w:id="3"/>
      <w:r w:rsidR="003C01A8">
        <w:rPr>
          <w:rStyle w:val="CommentReference"/>
          <w:rFonts w:cstheme="minorBidi"/>
          <w:color w:val="auto"/>
          <w:spacing w:val="0"/>
          <w:lang w:val="en-US"/>
        </w:rPr>
        <w:commentReference w:id="3"/>
      </w:r>
    </w:p>
    <w:p w14:paraId="7FB5A588" w14:textId="77777777" w:rsidR="00086428" w:rsidRPr="00086428" w:rsidRDefault="00086428" w:rsidP="00086428">
      <w:pPr>
        <w:pStyle w:val="Mainbodycopy"/>
        <w:numPr>
          <w:ilvl w:val="0"/>
          <w:numId w:val="20"/>
        </w:numPr>
        <w:rPr>
          <w:rFonts w:cs="Arial"/>
        </w:rPr>
      </w:pPr>
      <w:r w:rsidRPr="00086428">
        <w:rPr>
          <w:rFonts w:cs="Arial"/>
          <w:b/>
          <w:bCs/>
        </w:rPr>
        <w:t>Faculty Hiring Incentive Program:</w:t>
      </w:r>
      <w:r w:rsidRPr="00086428">
        <w:rPr>
          <w:rFonts w:cs="Arial"/>
        </w:rPr>
        <w:t xml:space="preserve">  UCSF will receive $85,000 for five years to support salary of a former Presidential Postdoctoral Fellow. </w:t>
      </w:r>
    </w:p>
    <w:p w14:paraId="769C5035" w14:textId="68D2AA9C" w:rsidR="00086428" w:rsidRPr="00086428" w:rsidRDefault="00086428" w:rsidP="00086428">
      <w:pPr>
        <w:pStyle w:val="Mainbodycopy"/>
        <w:numPr>
          <w:ilvl w:val="0"/>
          <w:numId w:val="20"/>
        </w:numPr>
        <w:rPr>
          <w:rFonts w:cs="Arial"/>
        </w:rPr>
      </w:pPr>
      <w:r w:rsidRPr="00086428">
        <w:rPr>
          <w:rFonts w:cs="Arial"/>
          <w:b/>
          <w:bCs/>
        </w:rPr>
        <w:t>Student Academic Preparation and Educational Partnerships (SAPEP):</w:t>
      </w:r>
      <w:r w:rsidRPr="00086428">
        <w:rPr>
          <w:rFonts w:cs="Arial"/>
        </w:rPr>
        <w:t xml:space="preserve">  UCSF will receive an additional $20,000</w:t>
      </w:r>
      <w:r w:rsidR="00170F69">
        <w:rPr>
          <w:rFonts w:cs="Arial"/>
        </w:rPr>
        <w:t>, on top of $140,000 provided in 2020-21,</w:t>
      </w:r>
      <w:r w:rsidRPr="00086428">
        <w:rPr>
          <w:rFonts w:cs="Arial"/>
        </w:rPr>
        <w:t xml:space="preserve"> as a redirection of support previously provided by UCOP.  </w:t>
      </w:r>
    </w:p>
    <w:p w14:paraId="65BE008E" w14:textId="538D2801" w:rsidR="00086428" w:rsidRPr="00086428" w:rsidRDefault="00086428" w:rsidP="00086428">
      <w:pPr>
        <w:pStyle w:val="Mainbodycopy"/>
        <w:numPr>
          <w:ilvl w:val="0"/>
          <w:numId w:val="20"/>
        </w:numPr>
        <w:rPr>
          <w:rFonts w:cs="Arial"/>
        </w:rPr>
      </w:pPr>
      <w:r w:rsidRPr="00086428">
        <w:rPr>
          <w:rFonts w:cs="Arial"/>
          <w:b/>
          <w:bCs/>
        </w:rPr>
        <w:t>Agriculture &amp; Natural Resources (ANR):</w:t>
      </w:r>
      <w:r w:rsidRPr="00086428">
        <w:rPr>
          <w:rFonts w:cs="Arial"/>
        </w:rPr>
        <w:t xml:space="preserve">  In recent years, the Legislature has specifically designated a portion of UC’s appropriation to support UCOP, the UCPath Center, and ANR.  To accommodate this, in lieu of the usual UCOP assessment mechanism, the campuses have each received a series of one-time reductions in State fund allocations.  For 2021-22, the Legislature eliminated the designated funding for UCOP and the </w:t>
      </w:r>
      <w:proofErr w:type="spellStart"/>
      <w:r w:rsidRPr="00086428">
        <w:rPr>
          <w:rFonts w:cs="Arial"/>
        </w:rPr>
        <w:t>UCPath</w:t>
      </w:r>
      <w:proofErr w:type="spellEnd"/>
      <w:r w:rsidRPr="00086428">
        <w:rPr>
          <w:rFonts w:cs="Arial"/>
        </w:rPr>
        <w:t xml:space="preserve"> </w:t>
      </w:r>
      <w:proofErr w:type="spellStart"/>
      <w:r w:rsidRPr="00086428">
        <w:rPr>
          <w:rFonts w:cs="Arial"/>
        </w:rPr>
        <w:t>Center</w:t>
      </w:r>
      <w:proofErr w:type="spellEnd"/>
      <w:r w:rsidRPr="00086428">
        <w:rPr>
          <w:rFonts w:cs="Arial"/>
        </w:rPr>
        <w:t xml:space="preserve"> but retained a line-item for ANR.  Assuming this practice will continue in future years, each campus is now receiving a reduction in their recurring State fund allocations.  UCSF’s share of this reduction is $3.58 million.  This adjustment is offset by a reduction in the UCOP assessment, restored this year.</w:t>
      </w:r>
    </w:p>
    <w:p w14:paraId="3317FBEC" w14:textId="23066888" w:rsidR="00086428" w:rsidRPr="00193327" w:rsidRDefault="00086428" w:rsidP="00086428">
      <w:pPr>
        <w:pStyle w:val="Heading1"/>
      </w:pPr>
      <w:r w:rsidRPr="00193327">
        <w:lastRenderedPageBreak/>
        <w:t xml:space="preserve">One-time </w:t>
      </w:r>
      <w:r>
        <w:t>Allocations to UCSF</w:t>
      </w:r>
    </w:p>
    <w:p w14:paraId="3A285258" w14:textId="1160CE31" w:rsidR="00086428" w:rsidRPr="00193327" w:rsidRDefault="00086428" w:rsidP="00086428">
      <w:pPr>
        <w:pStyle w:val="Mainbodycopy"/>
        <w:numPr>
          <w:ilvl w:val="0"/>
          <w:numId w:val="21"/>
        </w:numPr>
      </w:pPr>
      <w:r w:rsidRPr="00193327">
        <w:rPr>
          <w:b/>
          <w:bCs/>
        </w:rPr>
        <w:t>Deferred Maintenance and Energy Efficiency:</w:t>
      </w:r>
      <w:r w:rsidRPr="00193327">
        <w:t xml:space="preserve">  UCSF will receive $10.</w:t>
      </w:r>
      <w:r>
        <w:t>5</w:t>
      </w:r>
      <w:r w:rsidRPr="00193327">
        <w:t>6 million</w:t>
      </w:r>
      <w:r w:rsidR="00E87A60">
        <w:t>,</w:t>
      </w:r>
      <w:r w:rsidRPr="00193327">
        <w:t xml:space="preserve"> </w:t>
      </w:r>
      <w:r w:rsidR="009A4A74">
        <w:t xml:space="preserve">which will likely be used </w:t>
      </w:r>
      <w:r w:rsidRPr="00193327">
        <w:t xml:space="preserve">to fund a new roof for the </w:t>
      </w:r>
      <w:proofErr w:type="spellStart"/>
      <w:r w:rsidRPr="00E87A60">
        <w:t>Kalmano</w:t>
      </w:r>
      <w:r w:rsidR="00E87A60" w:rsidRPr="00E87A60">
        <w:t>v</w:t>
      </w:r>
      <w:r w:rsidRPr="00E87A60">
        <w:t>itz</w:t>
      </w:r>
      <w:proofErr w:type="spellEnd"/>
      <w:r w:rsidRPr="00E87A60">
        <w:t xml:space="preserve"> Library.</w:t>
      </w:r>
    </w:p>
    <w:p w14:paraId="37EBC9FE" w14:textId="73925B05" w:rsidR="00086428" w:rsidRPr="00BB08AA" w:rsidRDefault="00086428" w:rsidP="00086428">
      <w:pPr>
        <w:pStyle w:val="Mainbodycopy"/>
        <w:numPr>
          <w:ilvl w:val="0"/>
          <w:numId w:val="21"/>
        </w:numPr>
        <w:rPr>
          <w:highlight w:val="yellow"/>
        </w:rPr>
      </w:pPr>
      <w:r w:rsidRPr="00193327">
        <w:rPr>
          <w:b/>
          <w:bCs/>
        </w:rPr>
        <w:t>Savings Related to Debt Financing:</w:t>
      </w:r>
      <w:r w:rsidRPr="00193327">
        <w:t xml:space="preserve">  UCSF will receive $5.4 million from savings related to bond financing and declines in debt service.</w:t>
      </w:r>
      <w:r w:rsidR="00426518">
        <w:t xml:space="preserve">  </w:t>
      </w:r>
      <w:r w:rsidR="00426518" w:rsidRPr="00BB08AA">
        <w:rPr>
          <w:highlight w:val="yellow"/>
        </w:rPr>
        <w:t>These funds will be held centrally to support capital needs.</w:t>
      </w:r>
    </w:p>
    <w:p w14:paraId="6BB0EECF" w14:textId="77777777" w:rsidR="00086428" w:rsidRPr="00086428" w:rsidRDefault="00086428" w:rsidP="00086428">
      <w:pPr>
        <w:pStyle w:val="Mainbodycopy"/>
        <w:numPr>
          <w:ilvl w:val="0"/>
          <w:numId w:val="21"/>
        </w:numPr>
        <w:rPr>
          <w:rFonts w:cs="Arial"/>
        </w:rPr>
      </w:pPr>
      <w:r w:rsidRPr="00086428">
        <w:rPr>
          <w:rFonts w:cs="Arial"/>
          <w:b/>
          <w:bCs/>
        </w:rPr>
        <w:t>Additional one-time support:</w:t>
      </w:r>
      <w:r w:rsidRPr="00086428">
        <w:rPr>
          <w:rFonts w:cs="Arial"/>
        </w:rPr>
        <w:t xml:space="preserve">  UCSF will receive funding for the following programs:</w:t>
      </w:r>
    </w:p>
    <w:p w14:paraId="7DC67DB9" w14:textId="04905194" w:rsidR="00086428" w:rsidRPr="00086428" w:rsidRDefault="00086428" w:rsidP="00086428">
      <w:pPr>
        <w:pStyle w:val="Mainbodycopy"/>
        <w:numPr>
          <w:ilvl w:val="1"/>
          <w:numId w:val="21"/>
        </w:numPr>
        <w:rPr>
          <w:rFonts w:cs="Arial"/>
        </w:rPr>
      </w:pPr>
      <w:r w:rsidRPr="00086428">
        <w:rPr>
          <w:rFonts w:cs="Arial"/>
        </w:rPr>
        <w:t>Hematologic Malignancies Consort</w:t>
      </w:r>
      <w:r w:rsidR="00170F69">
        <w:rPr>
          <w:rFonts w:cs="Arial"/>
        </w:rPr>
        <w:t>i</w:t>
      </w:r>
      <w:r w:rsidRPr="00086428">
        <w:rPr>
          <w:rFonts w:cs="Arial"/>
        </w:rPr>
        <w:t>um Pilot:  $1.39 million</w:t>
      </w:r>
    </w:p>
    <w:p w14:paraId="42D20C3B" w14:textId="77777777" w:rsidR="00086428" w:rsidRPr="00086428" w:rsidRDefault="00086428" w:rsidP="00086428">
      <w:pPr>
        <w:pStyle w:val="Mainbodycopy"/>
        <w:numPr>
          <w:ilvl w:val="1"/>
          <w:numId w:val="21"/>
        </w:numPr>
        <w:rPr>
          <w:rFonts w:cs="Arial"/>
        </w:rPr>
      </w:pPr>
      <w:r w:rsidRPr="00086428">
        <w:rPr>
          <w:rFonts w:cs="Arial"/>
        </w:rPr>
        <w:t>California Institute on Law, Neurosciences, and Education:  $3.5 million</w:t>
      </w:r>
    </w:p>
    <w:p w14:paraId="0F2C0E2D" w14:textId="77777777" w:rsidR="00086428" w:rsidRPr="00086428" w:rsidRDefault="00086428" w:rsidP="00086428">
      <w:pPr>
        <w:pStyle w:val="Mainbodycopy"/>
        <w:numPr>
          <w:ilvl w:val="1"/>
          <w:numId w:val="21"/>
        </w:numPr>
        <w:rPr>
          <w:rFonts w:cs="Arial"/>
        </w:rPr>
      </w:pPr>
      <w:r w:rsidRPr="00086428">
        <w:rPr>
          <w:rFonts w:cs="Arial"/>
        </w:rPr>
        <w:t>UCSF Dyslexia Center:  $15.2 million</w:t>
      </w:r>
    </w:p>
    <w:p w14:paraId="2828868D" w14:textId="77777777" w:rsidR="00086428" w:rsidRPr="00086428" w:rsidRDefault="00086428" w:rsidP="00086428">
      <w:pPr>
        <w:pStyle w:val="Mainbodycopy"/>
        <w:numPr>
          <w:ilvl w:val="1"/>
          <w:numId w:val="21"/>
        </w:numPr>
        <w:rPr>
          <w:rFonts w:cs="Arial"/>
        </w:rPr>
      </w:pPr>
      <w:r w:rsidRPr="00086428">
        <w:rPr>
          <w:rFonts w:cs="Arial"/>
        </w:rPr>
        <w:t>UCSF Health Modeling Consortium:  $1.25 million</w:t>
      </w:r>
    </w:p>
    <w:p w14:paraId="35BE9D86" w14:textId="77777777" w:rsidR="00086428" w:rsidRPr="00BB08AA" w:rsidRDefault="00086428" w:rsidP="00086428">
      <w:pPr>
        <w:pStyle w:val="Mainbodycopy"/>
        <w:numPr>
          <w:ilvl w:val="0"/>
          <w:numId w:val="21"/>
        </w:numPr>
        <w:rPr>
          <w:rFonts w:cs="Arial"/>
          <w:highlight w:val="yellow"/>
        </w:rPr>
      </w:pPr>
      <w:commentRangeStart w:id="4"/>
      <w:r w:rsidRPr="00BB08AA">
        <w:rPr>
          <w:rFonts w:cs="Arial"/>
          <w:b/>
          <w:bCs/>
          <w:highlight w:val="yellow"/>
        </w:rPr>
        <w:t xml:space="preserve">California Institutes for Science and Innovation (Cal ISIs):  </w:t>
      </w:r>
      <w:r w:rsidRPr="00BB08AA">
        <w:rPr>
          <w:rFonts w:cs="Arial"/>
          <w:highlight w:val="yellow"/>
        </w:rPr>
        <w:t>The Budget Act provides $20 million for the California Institutes for Science and Innovation.  These funds will be held at UCOP until a final decision is made on the appropriate distribution at each campus.</w:t>
      </w:r>
      <w:commentRangeEnd w:id="4"/>
      <w:r w:rsidR="003C01A8">
        <w:rPr>
          <w:rStyle w:val="CommentReference"/>
          <w:rFonts w:cstheme="minorBidi"/>
          <w:color w:val="auto"/>
          <w:spacing w:val="0"/>
          <w:lang w:val="en-US"/>
        </w:rPr>
        <w:commentReference w:id="4"/>
      </w:r>
    </w:p>
    <w:p w14:paraId="78180CFB" w14:textId="33574E60" w:rsidR="00086428" w:rsidRDefault="00086428" w:rsidP="00086428">
      <w:pPr>
        <w:pStyle w:val="Heading1"/>
      </w:pPr>
      <w:r w:rsidRPr="00086428">
        <w:t xml:space="preserve">UCOP Assessment  </w:t>
      </w:r>
    </w:p>
    <w:p w14:paraId="6CADF066" w14:textId="1632B0C4" w:rsidR="00086428" w:rsidRPr="00193327" w:rsidRDefault="00086428" w:rsidP="00086428">
      <w:pPr>
        <w:pStyle w:val="Mainbodycopy"/>
        <w:numPr>
          <w:ilvl w:val="0"/>
          <w:numId w:val="23"/>
        </w:numPr>
        <w:rPr>
          <w:sz w:val="22"/>
          <w:szCs w:val="22"/>
        </w:rPr>
      </w:pPr>
      <w:r w:rsidRPr="00086428">
        <w:t xml:space="preserve">Campus shares of the UCOP Assessment continue to be allocated based distributions of students enrollment, employees, and total expenses.  UCSF’s share of the UCOP Assessment </w:t>
      </w:r>
      <w:r w:rsidR="00D329F9">
        <w:t xml:space="preserve">for 2021-22 </w:t>
      </w:r>
      <w:r w:rsidRPr="00086428">
        <w:t>is $29.4 million.  This represents a slight proportional increase from 12.6% to 12.8%, due to increases in</w:t>
      </w:r>
      <w:r>
        <w:t xml:space="preserve"> UCSF’s shares of employees and total expenses</w:t>
      </w:r>
      <w:r w:rsidR="00D329F9">
        <w:t xml:space="preserve">, but a reduction in the dollar amount </w:t>
      </w:r>
      <w:r w:rsidR="009A4A74">
        <w:t xml:space="preserve">of the assessment </w:t>
      </w:r>
      <w:r w:rsidR="00D329F9">
        <w:t>due to the removal of ANR funding and the related reduction in campus allocation of State funds</w:t>
      </w:r>
      <w:r>
        <w:t xml:space="preserve">.  </w:t>
      </w:r>
    </w:p>
    <w:p w14:paraId="67EC6746" w14:textId="4639B999" w:rsidR="00086428" w:rsidRDefault="00086428" w:rsidP="00086428">
      <w:pPr>
        <w:pStyle w:val="Heading1"/>
      </w:pPr>
      <w:proofErr w:type="spellStart"/>
      <w:r w:rsidRPr="008E5199">
        <w:t>Rebenching</w:t>
      </w:r>
      <w:proofErr w:type="spellEnd"/>
      <w:r w:rsidRPr="008E5199">
        <w:t xml:space="preserve"> </w:t>
      </w:r>
    </w:p>
    <w:p w14:paraId="7342C9C2" w14:textId="31B40FDE" w:rsidR="00086428" w:rsidRPr="00086428" w:rsidRDefault="00086428" w:rsidP="00086428">
      <w:pPr>
        <w:pStyle w:val="Mainbodycopy"/>
        <w:numPr>
          <w:ilvl w:val="0"/>
          <w:numId w:val="22"/>
        </w:numPr>
        <w:rPr>
          <w:rFonts w:cs="Arial"/>
        </w:rPr>
      </w:pPr>
      <w:proofErr w:type="spellStart"/>
      <w:r w:rsidRPr="00086428">
        <w:rPr>
          <w:rFonts w:cs="Arial"/>
        </w:rPr>
        <w:t>Rebenching</w:t>
      </w:r>
      <w:proofErr w:type="spellEnd"/>
      <w:r w:rsidRPr="00086428">
        <w:rPr>
          <w:rFonts w:cs="Arial"/>
        </w:rPr>
        <w:t xml:space="preserve"> is the systemwide effort to equalize funding across campuses on a weighted enrollment basis, with graduate students and health sciences students and residents receiving greater weight.  Over time, UCOP has distributed incremental State funding in such a way that all campuses (except Merced and San Francisco) have equal levels of State funding on a weighted student enrollment basis.  </w:t>
      </w:r>
    </w:p>
    <w:p w14:paraId="644315CE" w14:textId="63D1881F" w:rsidR="00086428" w:rsidRPr="00086428" w:rsidRDefault="00086428" w:rsidP="00086428">
      <w:pPr>
        <w:pStyle w:val="Mainbodycopy"/>
        <w:numPr>
          <w:ilvl w:val="0"/>
          <w:numId w:val="22"/>
        </w:numPr>
        <w:rPr>
          <w:rFonts w:cs="Arial"/>
        </w:rPr>
      </w:pPr>
      <w:r w:rsidRPr="00086428">
        <w:rPr>
          <w:rFonts w:cs="Arial"/>
        </w:rPr>
        <w:t xml:space="preserve">New this year, the President allocated $16.5 million on a recurring basis to the Riverside, Santa Barbara, and Santa Cruz campuses as the first year of a three-year commitment, with the goal of increasing State funding per </w:t>
      </w:r>
      <w:r w:rsidRPr="00086428">
        <w:rPr>
          <w:rFonts w:cs="Arial"/>
          <w:u w:val="single"/>
        </w:rPr>
        <w:t>unweighted</w:t>
      </w:r>
      <w:r w:rsidRPr="00086428">
        <w:rPr>
          <w:rFonts w:cs="Arial"/>
        </w:rPr>
        <w:t xml:space="preserve"> student for these campuses to 95% of the systemwide average.</w:t>
      </w:r>
    </w:p>
    <w:p w14:paraId="7CA86343" w14:textId="785FEA3F" w:rsidR="00086428" w:rsidRPr="00086428" w:rsidRDefault="00086428" w:rsidP="00086428">
      <w:pPr>
        <w:pStyle w:val="Mainbodycopy"/>
        <w:numPr>
          <w:ilvl w:val="0"/>
          <w:numId w:val="22"/>
        </w:numPr>
        <w:rPr>
          <w:rFonts w:cs="Arial"/>
        </w:rPr>
      </w:pPr>
      <w:r w:rsidRPr="00086428">
        <w:rPr>
          <w:rFonts w:cs="Arial"/>
        </w:rPr>
        <w:t xml:space="preserve">UCSF </w:t>
      </w:r>
      <w:r>
        <w:rPr>
          <w:rFonts w:cs="Arial"/>
        </w:rPr>
        <w:t>continues to be excluded from t</w:t>
      </w:r>
      <w:r w:rsidRPr="00086428">
        <w:rPr>
          <w:rFonts w:cs="Arial"/>
        </w:rPr>
        <w:t xml:space="preserve">he </w:t>
      </w:r>
      <w:proofErr w:type="spellStart"/>
      <w:r w:rsidRPr="00086428">
        <w:rPr>
          <w:rFonts w:cs="Arial"/>
        </w:rPr>
        <w:t>rebenching</w:t>
      </w:r>
      <w:proofErr w:type="spellEnd"/>
      <w:r w:rsidRPr="00086428">
        <w:rPr>
          <w:rFonts w:cs="Arial"/>
        </w:rPr>
        <w:t xml:space="preserve"> conversation and is instead funded based on the “Corridor” agreement with UCOP</w:t>
      </w:r>
      <w:r>
        <w:rPr>
          <w:rFonts w:cs="Arial"/>
        </w:rPr>
        <w:t xml:space="preserve">.  The </w:t>
      </w:r>
      <w:r w:rsidRPr="00086428">
        <w:rPr>
          <w:rFonts w:cs="Arial"/>
        </w:rPr>
        <w:t xml:space="preserve">new allocation had no negative impact on UCSF.  </w:t>
      </w:r>
    </w:p>
    <w:bookmarkEnd w:id="0"/>
    <w:p w14:paraId="62F502F7" w14:textId="77777777" w:rsidR="00086428" w:rsidRPr="00193327" w:rsidRDefault="00086428" w:rsidP="00086428">
      <w:pPr>
        <w:spacing w:after="160"/>
        <w:rPr>
          <w:szCs w:val="22"/>
        </w:rPr>
      </w:pPr>
    </w:p>
    <w:sectPr w:rsidR="00086428" w:rsidRPr="00193327" w:rsidSect="003319F1">
      <w:headerReference w:type="default" r:id="rId12"/>
      <w:footerReference w:type="default" r:id="rId13"/>
      <w:headerReference w:type="first" r:id="rId14"/>
      <w:footerReference w:type="first" r:id="rId15"/>
      <w:pgSz w:w="12240" w:h="15840" w:code="1"/>
      <w:pgMar w:top="740" w:right="1440" w:bottom="1440" w:left="1440" w:header="1440" w:footer="848"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jung Park" w:date="2021-11-16T13:02:00Z" w:initials="MP">
    <w:p w14:paraId="15487B4C" w14:textId="783B004C" w:rsidR="003C01A8" w:rsidRDefault="003C01A8">
      <w:pPr>
        <w:pStyle w:val="CommentText"/>
      </w:pPr>
      <w:r>
        <w:rPr>
          <w:rStyle w:val="CommentReference"/>
        </w:rPr>
        <w:annotationRef/>
      </w:r>
      <w:r>
        <w:t xml:space="preserve">This question reflects my own ignorance. So sorry. I am not familiar with the term Core Financial Plan. Where do I find more information? </w:t>
      </w:r>
      <w:r w:rsidR="00856938">
        <w:t>Would these funds be distributed across schools?</w:t>
      </w:r>
    </w:p>
  </w:comment>
  <w:comment w:id="3" w:author="Mijung Park" w:date="2021-11-16T13:01:00Z" w:initials="MP">
    <w:p w14:paraId="2C3D8C2F" w14:textId="0B9ABF7A" w:rsidR="003C01A8" w:rsidRDefault="003C01A8">
      <w:pPr>
        <w:pStyle w:val="CommentText"/>
      </w:pPr>
      <w:r>
        <w:rPr>
          <w:rStyle w:val="CommentReference"/>
        </w:rPr>
        <w:annotationRef/>
      </w:r>
      <w:r>
        <w:t xml:space="preserve">Will these funds distributed to schools or </w:t>
      </w:r>
      <w:r w:rsidR="00856938">
        <w:t xml:space="preserve">designated </w:t>
      </w:r>
      <w:r>
        <w:t>to student healt</w:t>
      </w:r>
      <w:r w:rsidR="00856938">
        <w:t xml:space="preserve">h or another unit? </w:t>
      </w:r>
    </w:p>
  </w:comment>
  <w:comment w:id="4" w:author="Mijung Park" w:date="2021-11-16T13:04:00Z" w:initials="MP">
    <w:p w14:paraId="1D132D2A" w14:textId="3BABBE03" w:rsidR="003C01A8" w:rsidRDefault="003C01A8">
      <w:pPr>
        <w:pStyle w:val="CommentText"/>
      </w:pPr>
      <w:r>
        <w:rPr>
          <w:rStyle w:val="CommentReference"/>
        </w:rPr>
        <w:annotationRef/>
      </w:r>
      <w:r>
        <w:t>Any updates? If not, when do we expect final decision?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87B4C" w15:done="0"/>
  <w15:commentEx w15:paraId="2C3D8C2F" w15:done="0"/>
  <w15:commentEx w15:paraId="1D132D2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E2A54" w16cex:dateUtc="2021-11-16T21:02:00Z"/>
  <w16cex:commentExtensible w16cex:durableId="253E2A2F" w16cex:dateUtc="2021-11-16T21:01:00Z"/>
  <w16cex:commentExtensible w16cex:durableId="253E2AD7" w16cex:dateUtc="2021-11-16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87B4C" w16cid:durableId="253E2A54"/>
  <w16cid:commentId w16cid:paraId="2C3D8C2F" w16cid:durableId="253E2A2F"/>
  <w16cid:commentId w16cid:paraId="1D132D2A" w16cid:durableId="253E2AD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48D1A" w14:textId="77777777" w:rsidR="0026078E" w:rsidRDefault="0026078E" w:rsidP="002D1F58">
      <w:r>
        <w:separator/>
      </w:r>
    </w:p>
  </w:endnote>
  <w:endnote w:type="continuationSeparator" w:id="0">
    <w:p w14:paraId="0F004B31" w14:textId="77777777" w:rsidR="0026078E" w:rsidRDefault="0026078E" w:rsidP="002D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ArialMT">
    <w:altName w:val="Arial"/>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7A0F" w14:textId="4B4B13A3" w:rsidR="0082567F" w:rsidRPr="0082567F" w:rsidRDefault="0082567F">
    <w:pPr>
      <w:pStyle w:val="Footer"/>
      <w:rPr>
        <w:sz w:val="20"/>
        <w:szCs w:val="22"/>
      </w:rPr>
    </w:pPr>
    <w:r w:rsidRPr="0082567F">
      <w:rPr>
        <w:sz w:val="20"/>
        <w:szCs w:val="22"/>
      </w:rPr>
      <w:t>August 30, 2021</w:t>
    </w:r>
    <w:r w:rsidRPr="0082567F">
      <w:rPr>
        <w:sz w:val="20"/>
        <w:szCs w:val="22"/>
      </w:rPr>
      <w:ptab w:relativeTo="margin" w:alignment="center" w:leader="none"/>
    </w:r>
    <w:r w:rsidRPr="0082567F">
      <w:rPr>
        <w:sz w:val="20"/>
        <w:szCs w:val="22"/>
      </w:rPr>
      <w:ptab w:relativeTo="margin" w:alignment="right" w:leader="none"/>
    </w:r>
    <w:r w:rsidRPr="0082567F">
      <w:rPr>
        <w:sz w:val="20"/>
        <w:szCs w:val="22"/>
      </w:rPr>
      <w:fldChar w:fldCharType="begin"/>
    </w:r>
    <w:r w:rsidRPr="0082567F">
      <w:rPr>
        <w:sz w:val="20"/>
        <w:szCs w:val="22"/>
      </w:rPr>
      <w:instrText xml:space="preserve"> PAGE   \* MERGEFORMAT </w:instrText>
    </w:r>
    <w:r w:rsidRPr="0082567F">
      <w:rPr>
        <w:sz w:val="20"/>
        <w:szCs w:val="22"/>
      </w:rPr>
      <w:fldChar w:fldCharType="separate"/>
    </w:r>
    <w:r w:rsidRPr="0082567F">
      <w:rPr>
        <w:noProof/>
        <w:sz w:val="20"/>
        <w:szCs w:val="22"/>
      </w:rPr>
      <w:t>3</w:t>
    </w:r>
    <w:r w:rsidRPr="0082567F">
      <w:rPr>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FF7C6" w14:textId="579EB20B" w:rsidR="0082567F" w:rsidRPr="0082567F" w:rsidRDefault="0082567F">
    <w:pPr>
      <w:pStyle w:val="Footer"/>
      <w:rPr>
        <w:sz w:val="20"/>
        <w:szCs w:val="22"/>
      </w:rPr>
    </w:pPr>
    <w:r w:rsidRPr="0082567F">
      <w:rPr>
        <w:sz w:val="20"/>
        <w:szCs w:val="22"/>
      </w:rPr>
      <w:t>August 30, 2021</w:t>
    </w:r>
    <w:r w:rsidRPr="0082567F">
      <w:rPr>
        <w:sz w:val="20"/>
        <w:szCs w:val="22"/>
      </w:rPr>
      <w:ptab w:relativeTo="margin" w:alignment="center" w:leader="none"/>
    </w:r>
    <w:r w:rsidRPr="0082567F">
      <w:rPr>
        <w:sz w:val="20"/>
        <w:szCs w:val="22"/>
      </w:rPr>
      <w:ptab w:relativeTo="margin" w:alignment="right" w:leader="none"/>
    </w:r>
    <w:r w:rsidRPr="0082567F">
      <w:rPr>
        <w:sz w:val="20"/>
        <w:szCs w:val="22"/>
      </w:rPr>
      <w:fldChar w:fldCharType="begin"/>
    </w:r>
    <w:r w:rsidRPr="0082567F">
      <w:rPr>
        <w:sz w:val="20"/>
        <w:szCs w:val="22"/>
      </w:rPr>
      <w:instrText xml:space="preserve"> PAGE   \* MERGEFORMAT </w:instrText>
    </w:r>
    <w:r w:rsidRPr="0082567F">
      <w:rPr>
        <w:sz w:val="20"/>
        <w:szCs w:val="22"/>
      </w:rPr>
      <w:fldChar w:fldCharType="separate"/>
    </w:r>
    <w:r w:rsidRPr="0082567F">
      <w:rPr>
        <w:noProof/>
        <w:sz w:val="20"/>
        <w:szCs w:val="22"/>
      </w:rPr>
      <w:t>4</w:t>
    </w:r>
    <w:r w:rsidRPr="0082567F">
      <w:rPr>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E46E7D" w14:textId="77777777" w:rsidR="0026078E" w:rsidRDefault="0026078E" w:rsidP="002D1F58">
      <w:r>
        <w:separator/>
      </w:r>
    </w:p>
  </w:footnote>
  <w:footnote w:type="continuationSeparator" w:id="0">
    <w:p w14:paraId="64AC5393" w14:textId="77777777" w:rsidR="0026078E" w:rsidRDefault="0026078E" w:rsidP="002D1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B9B5D" w14:textId="75C90ECC" w:rsidR="0023652D" w:rsidRPr="00D34482" w:rsidRDefault="0023652D" w:rsidP="00D34482">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34B43" w14:textId="5F72AE3D" w:rsidR="003319F1" w:rsidRDefault="003319F1" w:rsidP="003319F1">
    <w:pPr>
      <w:pStyle w:val="Header"/>
      <w:spacing w:after="480"/>
    </w:pPr>
    <w:r w:rsidRPr="0082567F">
      <w:rPr>
        <w:noProof/>
      </w:rPr>
      <w:drawing>
        <wp:anchor distT="0" distB="0" distL="114300" distR="114300" simplePos="0" relativeHeight="251664384" behindDoc="0" locked="0" layoutInCell="1" allowOverlap="1" wp14:anchorId="410B6556" wp14:editId="2E0E56B7">
          <wp:simplePos x="0" y="0"/>
          <wp:positionH relativeFrom="margin">
            <wp:posOffset>5542280</wp:posOffset>
          </wp:positionH>
          <wp:positionV relativeFrom="page">
            <wp:posOffset>758825</wp:posOffset>
          </wp:positionV>
          <wp:extent cx="574675" cy="448310"/>
          <wp:effectExtent l="0" t="0" r="0" b="8890"/>
          <wp:wrapNone/>
          <wp:docPr id="571" name="Picture 57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r="45385" b="41135"/>
                  <a:stretch/>
                </pic:blipFill>
                <pic:spPr bwMode="auto">
                  <a:xfrm>
                    <a:off x="0" y="0"/>
                    <a:ext cx="574675" cy="4483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567F">
      <w:rPr>
        <w:noProof/>
      </w:rPr>
      <w:drawing>
        <wp:anchor distT="0" distB="0" distL="114300" distR="114300" simplePos="0" relativeHeight="251663360" behindDoc="0" locked="0" layoutInCell="1" allowOverlap="1" wp14:anchorId="0BADAABC" wp14:editId="1B62D584">
          <wp:simplePos x="0" y="0"/>
          <wp:positionH relativeFrom="column">
            <wp:posOffset>3426460</wp:posOffset>
          </wp:positionH>
          <wp:positionV relativeFrom="paragraph">
            <wp:posOffset>-272608</wp:posOffset>
          </wp:positionV>
          <wp:extent cx="1828800" cy="405765"/>
          <wp:effectExtent l="0" t="0" r="0" b="0"/>
          <wp:wrapNone/>
          <wp:docPr id="572" name="Picture 57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2"/>
                  <a:stretch>
                    <a:fillRect/>
                  </a:stretch>
                </pic:blipFill>
                <pic:spPr>
                  <a:xfrm>
                    <a:off x="0" y="0"/>
                    <a:ext cx="1828800" cy="4057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A1E"/>
    <w:multiLevelType w:val="hybridMultilevel"/>
    <w:tmpl w:val="1F80C3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C647F"/>
    <w:multiLevelType w:val="hybridMultilevel"/>
    <w:tmpl w:val="56A8FE52"/>
    <w:lvl w:ilvl="0" w:tplc="2B2C9B0C">
      <w:start w:val="1"/>
      <w:numFmt w:val="bullet"/>
      <w:lvlText w:val=""/>
      <w:lvlJc w:val="left"/>
      <w:pPr>
        <w:ind w:left="720" w:hanging="360"/>
      </w:pPr>
      <w:rPr>
        <w:rFonts w:ascii="Symbol" w:hAnsi="Symbol" w:hint="default"/>
        <w:color w:val="052049"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B7617"/>
    <w:multiLevelType w:val="hybridMultilevel"/>
    <w:tmpl w:val="2092E192"/>
    <w:lvl w:ilvl="0" w:tplc="04090001">
      <w:start w:val="1"/>
      <w:numFmt w:val="bullet"/>
      <w:lvlText w:val=""/>
      <w:lvlJc w:val="left"/>
      <w:pPr>
        <w:ind w:left="720" w:hanging="360"/>
      </w:pPr>
      <w:rPr>
        <w:rFonts w:ascii="Symbol" w:hAnsi="Symbol" w:hint="default"/>
        <w:color w:val="007C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D31989"/>
    <w:multiLevelType w:val="hybridMultilevel"/>
    <w:tmpl w:val="97A62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FF0BC6"/>
    <w:multiLevelType w:val="hybridMultilevel"/>
    <w:tmpl w:val="BC36D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B3811"/>
    <w:multiLevelType w:val="hybridMultilevel"/>
    <w:tmpl w:val="456CBCD2"/>
    <w:lvl w:ilvl="0" w:tplc="04090001">
      <w:start w:val="1"/>
      <w:numFmt w:val="bullet"/>
      <w:lvlText w:val=""/>
      <w:lvlJc w:val="left"/>
      <w:pPr>
        <w:ind w:left="720" w:hanging="360"/>
      </w:pPr>
      <w:rPr>
        <w:rFonts w:ascii="Symbol" w:hAnsi="Symbol" w:hint="default"/>
        <w:color w:val="007C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B5AC5"/>
    <w:multiLevelType w:val="hybridMultilevel"/>
    <w:tmpl w:val="227A21AA"/>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7" w15:restartNumberingAfterBreak="0">
    <w:nsid w:val="38F145DE"/>
    <w:multiLevelType w:val="hybridMultilevel"/>
    <w:tmpl w:val="257C568C"/>
    <w:lvl w:ilvl="0" w:tplc="2B2C9B0C">
      <w:start w:val="1"/>
      <w:numFmt w:val="bullet"/>
      <w:lvlText w:val=""/>
      <w:lvlJc w:val="left"/>
      <w:pPr>
        <w:ind w:left="720" w:hanging="360"/>
      </w:pPr>
      <w:rPr>
        <w:rFonts w:ascii="Symbol" w:hAnsi="Symbol" w:hint="default"/>
        <w:color w:val="052049" w:themeColor="text1"/>
      </w:rPr>
    </w:lvl>
    <w:lvl w:ilvl="1" w:tplc="B2585CC2">
      <w:start w:val="1"/>
      <w:numFmt w:val="bullet"/>
      <w:lvlText w:val="o"/>
      <w:lvlJc w:val="left"/>
      <w:pPr>
        <w:ind w:left="1440" w:hanging="360"/>
      </w:pPr>
      <w:rPr>
        <w:rFonts w:ascii="Courier New" w:hAnsi="Courier New" w:hint="default"/>
        <w:color w:val="007CBE"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E79C9"/>
    <w:multiLevelType w:val="hybridMultilevel"/>
    <w:tmpl w:val="EF2C1F3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AF095C"/>
    <w:multiLevelType w:val="hybridMultilevel"/>
    <w:tmpl w:val="875A2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040876"/>
    <w:multiLevelType w:val="hybridMultilevel"/>
    <w:tmpl w:val="D598DDD6"/>
    <w:lvl w:ilvl="0" w:tplc="630638A0">
      <w:start w:val="1"/>
      <w:numFmt w:val="bullet"/>
      <w:lvlText w:val=""/>
      <w:lvlJc w:val="left"/>
      <w:pPr>
        <w:ind w:left="720" w:hanging="360"/>
      </w:pPr>
      <w:rPr>
        <w:rFonts w:ascii="Symbol" w:hAnsi="Symbol" w:hint="default"/>
        <w:color w:val="007CB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20425"/>
    <w:multiLevelType w:val="hybridMultilevel"/>
    <w:tmpl w:val="8056E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774C6C"/>
    <w:multiLevelType w:val="hybridMultilevel"/>
    <w:tmpl w:val="0DD63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6F150E"/>
    <w:multiLevelType w:val="hybridMultilevel"/>
    <w:tmpl w:val="E4C4D440"/>
    <w:lvl w:ilvl="0" w:tplc="04090001">
      <w:start w:val="1"/>
      <w:numFmt w:val="bullet"/>
      <w:lvlText w:val=""/>
      <w:lvlJc w:val="left"/>
      <w:pPr>
        <w:ind w:left="720" w:hanging="360"/>
      </w:pPr>
      <w:rPr>
        <w:rFonts w:ascii="Symbol" w:hAnsi="Symbol" w:hint="default"/>
        <w:color w:val="007CBE"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230010"/>
    <w:multiLevelType w:val="hybridMultilevel"/>
    <w:tmpl w:val="46C44BDE"/>
    <w:lvl w:ilvl="0" w:tplc="2B2C9B0C">
      <w:start w:val="1"/>
      <w:numFmt w:val="bullet"/>
      <w:lvlText w:val=""/>
      <w:lvlJc w:val="left"/>
      <w:pPr>
        <w:ind w:left="720" w:hanging="360"/>
      </w:pPr>
      <w:rPr>
        <w:rFonts w:ascii="Symbol" w:hAnsi="Symbol" w:hint="default"/>
        <w:color w:val="052049"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AE52F7"/>
    <w:multiLevelType w:val="hybridMultilevel"/>
    <w:tmpl w:val="39E8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A5AF0"/>
    <w:multiLevelType w:val="hybridMultilevel"/>
    <w:tmpl w:val="C382C7DC"/>
    <w:lvl w:ilvl="0" w:tplc="2B2C9B0C">
      <w:start w:val="1"/>
      <w:numFmt w:val="bullet"/>
      <w:lvlText w:val=""/>
      <w:lvlJc w:val="left"/>
      <w:pPr>
        <w:ind w:left="720" w:hanging="360"/>
      </w:pPr>
      <w:rPr>
        <w:rFonts w:ascii="Symbol" w:hAnsi="Symbol" w:hint="default"/>
        <w:color w:val="052049" w:themeColor="text1"/>
      </w:rPr>
    </w:lvl>
    <w:lvl w:ilvl="1" w:tplc="B2585CC2">
      <w:start w:val="1"/>
      <w:numFmt w:val="bullet"/>
      <w:lvlText w:val="o"/>
      <w:lvlJc w:val="left"/>
      <w:pPr>
        <w:ind w:left="1440" w:hanging="360"/>
      </w:pPr>
      <w:rPr>
        <w:rFonts w:ascii="Courier New" w:hAnsi="Courier New" w:hint="default"/>
        <w:color w:val="007CBE" w:themeColor="accen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824428"/>
    <w:multiLevelType w:val="hybridMultilevel"/>
    <w:tmpl w:val="CF0C7DF6"/>
    <w:lvl w:ilvl="0" w:tplc="2B2C9B0C">
      <w:start w:val="1"/>
      <w:numFmt w:val="bullet"/>
      <w:lvlText w:val=""/>
      <w:lvlJc w:val="left"/>
      <w:pPr>
        <w:ind w:left="720" w:hanging="360"/>
      </w:pPr>
      <w:rPr>
        <w:rFonts w:ascii="Symbol" w:hAnsi="Symbol" w:hint="default"/>
        <w:color w:val="052049"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693BCE"/>
    <w:multiLevelType w:val="hybridMultilevel"/>
    <w:tmpl w:val="0358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C60E58"/>
    <w:multiLevelType w:val="hybridMultilevel"/>
    <w:tmpl w:val="114E3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27508"/>
    <w:multiLevelType w:val="hybridMultilevel"/>
    <w:tmpl w:val="243097D6"/>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1" w15:restartNumberingAfterBreak="0">
    <w:nsid w:val="70C44EDA"/>
    <w:multiLevelType w:val="hybridMultilevel"/>
    <w:tmpl w:val="B1CC6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441B6A"/>
    <w:multiLevelType w:val="hybridMultilevel"/>
    <w:tmpl w:val="D86A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8"/>
  </w:num>
  <w:num w:numId="4">
    <w:abstractNumId w:val="7"/>
  </w:num>
  <w:num w:numId="5">
    <w:abstractNumId w:val="5"/>
  </w:num>
  <w:num w:numId="6">
    <w:abstractNumId w:val="2"/>
  </w:num>
  <w:num w:numId="7">
    <w:abstractNumId w:val="17"/>
  </w:num>
  <w:num w:numId="8">
    <w:abstractNumId w:val="14"/>
  </w:num>
  <w:num w:numId="9">
    <w:abstractNumId w:val="1"/>
  </w:num>
  <w:num w:numId="10">
    <w:abstractNumId w:val="16"/>
  </w:num>
  <w:num w:numId="11">
    <w:abstractNumId w:val="3"/>
  </w:num>
  <w:num w:numId="12">
    <w:abstractNumId w:val="12"/>
  </w:num>
  <w:num w:numId="13">
    <w:abstractNumId w:val="19"/>
  </w:num>
  <w:num w:numId="14">
    <w:abstractNumId w:val="21"/>
  </w:num>
  <w:num w:numId="15">
    <w:abstractNumId w:val="20"/>
  </w:num>
  <w:num w:numId="16">
    <w:abstractNumId w:val="6"/>
  </w:num>
  <w:num w:numId="17">
    <w:abstractNumId w:val="4"/>
  </w:num>
  <w:num w:numId="18">
    <w:abstractNumId w:val="0"/>
  </w:num>
  <w:num w:numId="19">
    <w:abstractNumId w:val="18"/>
  </w:num>
  <w:num w:numId="20">
    <w:abstractNumId w:val="22"/>
  </w:num>
  <w:num w:numId="21">
    <w:abstractNumId w:val="11"/>
  </w:num>
  <w:num w:numId="22">
    <w:abstractNumId w:val="1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58"/>
    <w:rsid w:val="00065204"/>
    <w:rsid w:val="00086428"/>
    <w:rsid w:val="000D415B"/>
    <w:rsid w:val="001106B7"/>
    <w:rsid w:val="00111A3F"/>
    <w:rsid w:val="00170F69"/>
    <w:rsid w:val="001D64E5"/>
    <w:rsid w:val="0023652D"/>
    <w:rsid w:val="0024558E"/>
    <w:rsid w:val="0026078E"/>
    <w:rsid w:val="002A2556"/>
    <w:rsid w:val="002C64B1"/>
    <w:rsid w:val="002D1F58"/>
    <w:rsid w:val="002E190D"/>
    <w:rsid w:val="003319F1"/>
    <w:rsid w:val="003A7038"/>
    <w:rsid w:val="003C01A8"/>
    <w:rsid w:val="00401B83"/>
    <w:rsid w:val="0040217B"/>
    <w:rsid w:val="00426518"/>
    <w:rsid w:val="00490C82"/>
    <w:rsid w:val="00542FB4"/>
    <w:rsid w:val="00547019"/>
    <w:rsid w:val="0056683C"/>
    <w:rsid w:val="005B4FBF"/>
    <w:rsid w:val="005E29DC"/>
    <w:rsid w:val="00631004"/>
    <w:rsid w:val="00674B52"/>
    <w:rsid w:val="0068098D"/>
    <w:rsid w:val="00694058"/>
    <w:rsid w:val="006B316F"/>
    <w:rsid w:val="006D2E0E"/>
    <w:rsid w:val="007039CF"/>
    <w:rsid w:val="0075002C"/>
    <w:rsid w:val="007A78C5"/>
    <w:rsid w:val="007B524C"/>
    <w:rsid w:val="007C644E"/>
    <w:rsid w:val="00802908"/>
    <w:rsid w:val="0081549D"/>
    <w:rsid w:val="00821ADC"/>
    <w:rsid w:val="008231F3"/>
    <w:rsid w:val="0082567F"/>
    <w:rsid w:val="00856938"/>
    <w:rsid w:val="008737B0"/>
    <w:rsid w:val="008770C9"/>
    <w:rsid w:val="00891172"/>
    <w:rsid w:val="008B14C4"/>
    <w:rsid w:val="00907FF5"/>
    <w:rsid w:val="009407E7"/>
    <w:rsid w:val="009515E7"/>
    <w:rsid w:val="009A2AF1"/>
    <w:rsid w:val="009A4A74"/>
    <w:rsid w:val="00A06A39"/>
    <w:rsid w:val="00A40F82"/>
    <w:rsid w:val="00A530F0"/>
    <w:rsid w:val="00AC106F"/>
    <w:rsid w:val="00B1523F"/>
    <w:rsid w:val="00B3366E"/>
    <w:rsid w:val="00BA55A2"/>
    <w:rsid w:val="00BB08AA"/>
    <w:rsid w:val="00BC4115"/>
    <w:rsid w:val="00BD57FA"/>
    <w:rsid w:val="00C2688F"/>
    <w:rsid w:val="00C441F2"/>
    <w:rsid w:val="00C51251"/>
    <w:rsid w:val="00CD2D85"/>
    <w:rsid w:val="00CF241A"/>
    <w:rsid w:val="00CF44AC"/>
    <w:rsid w:val="00D07D6C"/>
    <w:rsid w:val="00D14848"/>
    <w:rsid w:val="00D30E45"/>
    <w:rsid w:val="00D329F9"/>
    <w:rsid w:val="00D34482"/>
    <w:rsid w:val="00D9691C"/>
    <w:rsid w:val="00DD46D2"/>
    <w:rsid w:val="00DF5DCF"/>
    <w:rsid w:val="00DF605A"/>
    <w:rsid w:val="00E3300D"/>
    <w:rsid w:val="00E346E8"/>
    <w:rsid w:val="00E40B4D"/>
    <w:rsid w:val="00E67852"/>
    <w:rsid w:val="00E73A97"/>
    <w:rsid w:val="00E87A60"/>
    <w:rsid w:val="00F6207D"/>
    <w:rsid w:val="00FF0A50"/>
    <w:rsid w:val="00FF58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620830"/>
  <w15:docId w15:val="{A12F5DB2-A14C-4275-A409-CB2CCE01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8B14C4"/>
    <w:rPr>
      <w:rFonts w:ascii="Arial" w:hAnsi="Arial"/>
      <w:sz w:val="22"/>
    </w:rPr>
  </w:style>
  <w:style w:type="paragraph" w:styleId="Heading1">
    <w:name w:val="heading 1"/>
    <w:basedOn w:val="Normal"/>
    <w:next w:val="Normal"/>
    <w:link w:val="Heading1Char"/>
    <w:uiPriority w:val="1"/>
    <w:qFormat/>
    <w:rsid w:val="009A2AF1"/>
    <w:pPr>
      <w:keepNext/>
      <w:keepLines/>
      <w:spacing w:before="240" w:after="160"/>
      <w:outlineLvl w:val="0"/>
    </w:pPr>
    <w:rPr>
      <w:rFonts w:ascii="Garamond" w:eastAsiaTheme="majorEastAsia" w:hAnsi="Garamond" w:cstheme="majorBidi"/>
      <w:color w:val="052049" w:themeColor="text1"/>
      <w:sz w:val="31"/>
      <w:szCs w:val="32"/>
    </w:rPr>
  </w:style>
  <w:style w:type="paragraph" w:styleId="Heading2">
    <w:name w:val="heading 2"/>
    <w:basedOn w:val="Normal"/>
    <w:next w:val="Normal"/>
    <w:link w:val="Heading2Char"/>
    <w:uiPriority w:val="9"/>
    <w:semiHidden/>
    <w:unhideWhenUsed/>
    <w:qFormat/>
    <w:rsid w:val="008B14C4"/>
    <w:pPr>
      <w:keepNext/>
      <w:keepLines/>
      <w:spacing w:before="40"/>
      <w:outlineLvl w:val="1"/>
    </w:pPr>
    <w:rPr>
      <w:rFonts w:asciiTheme="majorHAnsi" w:eastAsiaTheme="majorEastAsia" w:hAnsiTheme="majorHAnsi" w:cstheme="majorBidi"/>
      <w:color w:val="005C8E"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72"/>
    <w:pPr>
      <w:tabs>
        <w:tab w:val="center" w:pos="4320"/>
        <w:tab w:val="right" w:pos="8640"/>
      </w:tabs>
      <w:spacing w:after="2880"/>
    </w:pPr>
  </w:style>
  <w:style w:type="character" w:customStyle="1" w:styleId="HeaderChar">
    <w:name w:val="Header Char"/>
    <w:basedOn w:val="DefaultParagraphFont"/>
    <w:link w:val="Header"/>
    <w:uiPriority w:val="99"/>
    <w:rsid w:val="00891172"/>
  </w:style>
  <w:style w:type="paragraph" w:styleId="Footer">
    <w:name w:val="footer"/>
    <w:basedOn w:val="Normal"/>
    <w:link w:val="FooterChar"/>
    <w:uiPriority w:val="99"/>
    <w:unhideWhenUsed/>
    <w:qFormat/>
    <w:rsid w:val="002D1F58"/>
    <w:pPr>
      <w:tabs>
        <w:tab w:val="center" w:pos="4320"/>
        <w:tab w:val="right" w:pos="8640"/>
      </w:tabs>
    </w:pPr>
  </w:style>
  <w:style w:type="character" w:customStyle="1" w:styleId="FooterChar">
    <w:name w:val="Footer Char"/>
    <w:basedOn w:val="DefaultParagraphFont"/>
    <w:link w:val="Footer"/>
    <w:uiPriority w:val="99"/>
    <w:rsid w:val="002D1F58"/>
  </w:style>
  <w:style w:type="paragraph" w:customStyle="1" w:styleId="BasicParagraph">
    <w:name w:val="[Basic Paragraph]"/>
    <w:basedOn w:val="Normal"/>
    <w:uiPriority w:val="99"/>
    <w:rsid w:val="002D1F5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TableHeader">
    <w:name w:val="Table Header"/>
    <w:basedOn w:val="Heading2"/>
    <w:link w:val="TableHeaderChar"/>
    <w:uiPriority w:val="1"/>
    <w:qFormat/>
    <w:rsid w:val="008B14C4"/>
    <w:pPr>
      <w:spacing w:before="0"/>
    </w:pPr>
    <w:rPr>
      <w:rFonts w:ascii="Arial" w:hAnsi="Arial"/>
      <w:b/>
      <w:color w:val="052049" w:themeColor="text1"/>
      <w:sz w:val="20"/>
    </w:rPr>
  </w:style>
  <w:style w:type="paragraph" w:customStyle="1" w:styleId="Mainbodycopy">
    <w:name w:val="Main body copy"/>
    <w:uiPriority w:val="2"/>
    <w:qFormat/>
    <w:rsid w:val="002E190D"/>
    <w:pPr>
      <w:spacing w:after="160"/>
    </w:pPr>
    <w:rPr>
      <w:rFonts w:ascii="Arial" w:hAnsi="Arial" w:cs="ArialMT"/>
      <w:color w:val="052049" w:themeColor="text1"/>
      <w:spacing w:val="2"/>
      <w:sz w:val="20"/>
      <w:szCs w:val="20"/>
      <w:lang w:val="en-GB"/>
    </w:rPr>
  </w:style>
  <w:style w:type="paragraph" w:customStyle="1" w:styleId="Subhead">
    <w:name w:val="Subhead"/>
    <w:uiPriority w:val="9"/>
    <w:qFormat/>
    <w:rsid w:val="009A2AF1"/>
    <w:pPr>
      <w:spacing w:before="460" w:after="160"/>
    </w:pPr>
    <w:rPr>
      <w:rFonts w:ascii="Garamond" w:hAnsi="Garamond" w:cs="Garamond"/>
      <w:color w:val="052049" w:themeColor="text1"/>
      <w:sz w:val="31"/>
      <w:szCs w:val="30"/>
      <w:lang w:val="en-GB"/>
    </w:rPr>
  </w:style>
  <w:style w:type="paragraph" w:styleId="BalloonText">
    <w:name w:val="Balloon Text"/>
    <w:basedOn w:val="Normal"/>
    <w:link w:val="BalloonTextChar"/>
    <w:uiPriority w:val="99"/>
    <w:semiHidden/>
    <w:unhideWhenUsed/>
    <w:rsid w:val="008231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31F3"/>
    <w:rPr>
      <w:rFonts w:ascii="Lucida Grande" w:hAnsi="Lucida Grande" w:cs="Lucida Grande"/>
      <w:sz w:val="18"/>
      <w:szCs w:val="18"/>
    </w:rPr>
  </w:style>
  <w:style w:type="paragraph" w:styleId="Title">
    <w:name w:val="Title"/>
    <w:basedOn w:val="Normal"/>
    <w:next w:val="Normal"/>
    <w:link w:val="TitleChar"/>
    <w:qFormat/>
    <w:rsid w:val="009A2AF1"/>
    <w:pPr>
      <w:spacing w:after="360"/>
      <w:contextualSpacing/>
    </w:pPr>
    <w:rPr>
      <w:rFonts w:ascii="Garamond" w:eastAsiaTheme="majorEastAsia" w:hAnsi="Garamond" w:cstheme="majorBidi"/>
      <w:color w:val="002049"/>
      <w:spacing w:val="-10"/>
      <w:kern w:val="28"/>
      <w:sz w:val="36"/>
      <w:szCs w:val="56"/>
    </w:rPr>
  </w:style>
  <w:style w:type="character" w:customStyle="1" w:styleId="TitleChar">
    <w:name w:val="Title Char"/>
    <w:basedOn w:val="DefaultParagraphFont"/>
    <w:link w:val="Title"/>
    <w:rsid w:val="00CF44AC"/>
    <w:rPr>
      <w:rFonts w:ascii="Garamond" w:eastAsiaTheme="majorEastAsia" w:hAnsi="Garamond" w:cstheme="majorBidi"/>
      <w:color w:val="002049"/>
      <w:spacing w:val="-10"/>
      <w:kern w:val="28"/>
      <w:sz w:val="36"/>
      <w:szCs w:val="56"/>
    </w:rPr>
  </w:style>
  <w:style w:type="paragraph" w:styleId="ListParagraph">
    <w:name w:val="List Paragraph"/>
    <w:basedOn w:val="Normal"/>
    <w:uiPriority w:val="34"/>
    <w:qFormat/>
    <w:rsid w:val="002E190D"/>
    <w:pPr>
      <w:spacing w:after="160" w:line="259" w:lineRule="auto"/>
      <w:ind w:left="720"/>
      <w:contextualSpacing/>
    </w:pPr>
    <w:rPr>
      <w:rFonts w:eastAsiaTheme="minorHAnsi"/>
      <w:color w:val="052049" w:themeColor="text1"/>
      <w:sz w:val="20"/>
      <w:szCs w:val="22"/>
    </w:rPr>
  </w:style>
  <w:style w:type="table" w:styleId="ListTable3-Accent1">
    <w:name w:val="List Table 3 Accent 1"/>
    <w:basedOn w:val="TableNormal"/>
    <w:uiPriority w:val="48"/>
    <w:rsid w:val="00C441F2"/>
    <w:rPr>
      <w:rFonts w:eastAsiaTheme="minorHAnsi"/>
      <w:sz w:val="22"/>
      <w:szCs w:val="22"/>
    </w:rPr>
    <w:tblPr>
      <w:tblStyleRowBandSize w:val="1"/>
      <w:tblStyleColBandSize w:val="1"/>
      <w:tblBorders>
        <w:top w:val="single" w:sz="4" w:space="0" w:color="007CBE" w:themeColor="accent1"/>
        <w:left w:val="single" w:sz="4" w:space="0" w:color="007CBE" w:themeColor="accent1"/>
        <w:bottom w:val="single" w:sz="4" w:space="0" w:color="007CBE" w:themeColor="accent1"/>
        <w:right w:val="single" w:sz="4" w:space="0" w:color="007CBE" w:themeColor="accent1"/>
      </w:tblBorders>
    </w:tblPr>
    <w:tblStylePr w:type="firstRow">
      <w:rPr>
        <w:b/>
        <w:bCs/>
        <w:color w:val="FFFFFF" w:themeColor="background1"/>
      </w:rPr>
      <w:tblPr/>
      <w:tcPr>
        <w:shd w:val="clear" w:color="auto" w:fill="007CBE" w:themeFill="accent1"/>
      </w:tcPr>
    </w:tblStylePr>
    <w:tblStylePr w:type="lastRow">
      <w:rPr>
        <w:b/>
        <w:bCs/>
      </w:rPr>
      <w:tblPr/>
      <w:tcPr>
        <w:tcBorders>
          <w:top w:val="double" w:sz="4" w:space="0" w:color="007C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E" w:themeColor="accent1"/>
          <w:right w:val="single" w:sz="4" w:space="0" w:color="007CBE" w:themeColor="accent1"/>
        </w:tcBorders>
      </w:tcPr>
    </w:tblStylePr>
    <w:tblStylePr w:type="band1Horz">
      <w:tblPr/>
      <w:tcPr>
        <w:tcBorders>
          <w:top w:val="single" w:sz="4" w:space="0" w:color="007CBE" w:themeColor="accent1"/>
          <w:bottom w:val="single" w:sz="4" w:space="0" w:color="007C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E" w:themeColor="accent1"/>
          <w:left w:val="nil"/>
        </w:tcBorders>
      </w:tcPr>
    </w:tblStylePr>
    <w:tblStylePr w:type="swCell">
      <w:tblPr/>
      <w:tcPr>
        <w:tcBorders>
          <w:top w:val="double" w:sz="4" w:space="0" w:color="007CBE" w:themeColor="accent1"/>
          <w:right w:val="nil"/>
        </w:tcBorders>
      </w:tcPr>
    </w:tblStylePr>
  </w:style>
  <w:style w:type="table" w:customStyle="1" w:styleId="ListTable3-Accent11">
    <w:name w:val="List Table 3 - Accent 11"/>
    <w:basedOn w:val="TableNormal"/>
    <w:uiPriority w:val="48"/>
    <w:rsid w:val="000D415B"/>
    <w:rPr>
      <w:rFonts w:eastAsiaTheme="minorHAnsi"/>
      <w:sz w:val="22"/>
      <w:szCs w:val="22"/>
    </w:rPr>
    <w:tblPr>
      <w:tblStyleRowBandSize w:val="1"/>
      <w:tblStyleColBandSize w:val="1"/>
      <w:tblBorders>
        <w:top w:val="single" w:sz="4" w:space="0" w:color="007CBE" w:themeColor="accent1"/>
        <w:left w:val="single" w:sz="4" w:space="0" w:color="007CBE" w:themeColor="accent1"/>
        <w:bottom w:val="single" w:sz="4" w:space="0" w:color="007CBE" w:themeColor="accent1"/>
        <w:right w:val="single" w:sz="4" w:space="0" w:color="007CBE" w:themeColor="accent1"/>
      </w:tblBorders>
    </w:tblPr>
    <w:tblStylePr w:type="firstRow">
      <w:rPr>
        <w:b/>
        <w:bCs/>
        <w:color w:val="FFFFFF" w:themeColor="background1"/>
      </w:rPr>
      <w:tblPr/>
      <w:tcPr>
        <w:shd w:val="clear" w:color="auto" w:fill="007CBE" w:themeFill="accent1"/>
      </w:tcPr>
    </w:tblStylePr>
    <w:tblStylePr w:type="lastRow">
      <w:rPr>
        <w:b/>
        <w:bCs/>
      </w:rPr>
      <w:tblPr/>
      <w:tcPr>
        <w:tcBorders>
          <w:top w:val="double" w:sz="4" w:space="0" w:color="007CB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CBE" w:themeColor="accent1"/>
          <w:right w:val="single" w:sz="4" w:space="0" w:color="007CBE" w:themeColor="accent1"/>
        </w:tcBorders>
      </w:tcPr>
    </w:tblStylePr>
    <w:tblStylePr w:type="band1Horz">
      <w:tblPr/>
      <w:tcPr>
        <w:tcBorders>
          <w:top w:val="single" w:sz="4" w:space="0" w:color="007CBE" w:themeColor="accent1"/>
          <w:bottom w:val="single" w:sz="4" w:space="0" w:color="007CB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CBE" w:themeColor="accent1"/>
          <w:left w:val="nil"/>
        </w:tcBorders>
      </w:tcPr>
    </w:tblStylePr>
    <w:tblStylePr w:type="swCell">
      <w:tblPr/>
      <w:tcPr>
        <w:tcBorders>
          <w:top w:val="double" w:sz="4" w:space="0" w:color="007CBE" w:themeColor="accent1"/>
          <w:right w:val="nil"/>
        </w:tcBorders>
      </w:tcPr>
    </w:tblStylePr>
  </w:style>
  <w:style w:type="character" w:styleId="CommentReference">
    <w:name w:val="annotation reference"/>
    <w:basedOn w:val="DefaultParagraphFont"/>
    <w:uiPriority w:val="99"/>
    <w:semiHidden/>
    <w:unhideWhenUsed/>
    <w:rsid w:val="00FF0A50"/>
    <w:rPr>
      <w:sz w:val="16"/>
      <w:szCs w:val="16"/>
    </w:rPr>
  </w:style>
  <w:style w:type="paragraph" w:styleId="CommentText">
    <w:name w:val="annotation text"/>
    <w:basedOn w:val="Normal"/>
    <w:link w:val="CommentTextChar"/>
    <w:uiPriority w:val="99"/>
    <w:semiHidden/>
    <w:unhideWhenUsed/>
    <w:rsid w:val="00FF0A50"/>
    <w:rPr>
      <w:sz w:val="20"/>
      <w:szCs w:val="20"/>
    </w:rPr>
  </w:style>
  <w:style w:type="character" w:customStyle="1" w:styleId="CommentTextChar">
    <w:name w:val="Comment Text Char"/>
    <w:basedOn w:val="DefaultParagraphFont"/>
    <w:link w:val="CommentText"/>
    <w:uiPriority w:val="99"/>
    <w:semiHidden/>
    <w:rsid w:val="00FF0A5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0A50"/>
    <w:rPr>
      <w:b/>
      <w:bCs/>
    </w:rPr>
  </w:style>
  <w:style w:type="character" w:customStyle="1" w:styleId="CommentSubjectChar">
    <w:name w:val="Comment Subject Char"/>
    <w:basedOn w:val="CommentTextChar"/>
    <w:link w:val="CommentSubject"/>
    <w:uiPriority w:val="99"/>
    <w:semiHidden/>
    <w:rsid w:val="00FF0A50"/>
    <w:rPr>
      <w:rFonts w:ascii="Arial" w:hAnsi="Arial"/>
      <w:b/>
      <w:bCs/>
      <w:sz w:val="20"/>
      <w:szCs w:val="20"/>
    </w:rPr>
  </w:style>
  <w:style w:type="table" w:styleId="ListTable3">
    <w:name w:val="List Table 3"/>
    <w:basedOn w:val="TableNormal"/>
    <w:uiPriority w:val="48"/>
    <w:rsid w:val="0075002C"/>
    <w:rPr>
      <w:rFonts w:ascii="Arial" w:hAnsi="Arial"/>
    </w:rPr>
    <w:tblPr>
      <w:tblStyleRowBandSize w:val="1"/>
      <w:tblStyleColBandSize w:val="1"/>
      <w:tblBorders>
        <w:top w:val="single" w:sz="4" w:space="0" w:color="052049" w:themeColor="text1"/>
        <w:left w:val="single" w:sz="4" w:space="0" w:color="052049" w:themeColor="text1"/>
        <w:bottom w:val="single" w:sz="4" w:space="0" w:color="052049" w:themeColor="text1"/>
        <w:right w:val="single" w:sz="4" w:space="0" w:color="052049" w:themeColor="text1"/>
      </w:tblBorders>
    </w:tblPr>
    <w:tblStylePr w:type="firstRow">
      <w:rPr>
        <w:rFonts w:ascii="Arial" w:hAnsi="Arial"/>
        <w:b/>
        <w:bCs/>
        <w:color w:val="FFFFFF" w:themeColor="background1"/>
      </w:rPr>
      <w:tblPr/>
      <w:tcPr>
        <w:shd w:val="clear" w:color="auto" w:fill="052049" w:themeFill="text1"/>
      </w:tcPr>
    </w:tblStylePr>
    <w:tblStylePr w:type="lastRow">
      <w:rPr>
        <w:b/>
        <w:bCs/>
      </w:rPr>
      <w:tblPr/>
      <w:tcPr>
        <w:tcBorders>
          <w:top w:val="double" w:sz="4" w:space="0" w:color="052049" w:themeColor="text1"/>
        </w:tcBorders>
        <w:shd w:val="clear" w:color="auto" w:fill="FFFFFF" w:themeFill="background1"/>
      </w:tcPr>
    </w:tblStylePr>
    <w:tblStylePr w:type="firstCol">
      <w:rPr>
        <w:rFonts w:ascii="Arial" w:hAnsi="Arial"/>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52049" w:themeColor="text1"/>
          <w:right w:val="single" w:sz="4" w:space="0" w:color="052049" w:themeColor="text1"/>
        </w:tcBorders>
      </w:tcPr>
    </w:tblStylePr>
    <w:tblStylePr w:type="band1Horz">
      <w:tblPr/>
      <w:tcPr>
        <w:tcBorders>
          <w:top w:val="single" w:sz="4" w:space="0" w:color="052049" w:themeColor="text1"/>
          <w:bottom w:val="single" w:sz="4" w:space="0" w:color="05204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52049" w:themeColor="text1"/>
          <w:left w:val="nil"/>
        </w:tcBorders>
      </w:tcPr>
    </w:tblStylePr>
    <w:tblStylePr w:type="swCell">
      <w:tblPr/>
      <w:tcPr>
        <w:tcBorders>
          <w:top w:val="double" w:sz="4" w:space="0" w:color="052049" w:themeColor="text1"/>
          <w:right w:val="nil"/>
        </w:tcBorders>
      </w:tcPr>
    </w:tblStylePr>
  </w:style>
  <w:style w:type="character" w:customStyle="1" w:styleId="Heading1Char">
    <w:name w:val="Heading 1 Char"/>
    <w:basedOn w:val="DefaultParagraphFont"/>
    <w:link w:val="Heading1"/>
    <w:uiPriority w:val="1"/>
    <w:rsid w:val="00CF44AC"/>
    <w:rPr>
      <w:rFonts w:ascii="Garamond" w:eastAsiaTheme="majorEastAsia" w:hAnsi="Garamond" w:cstheme="majorBidi"/>
      <w:color w:val="052049" w:themeColor="text1"/>
      <w:sz w:val="31"/>
      <w:szCs w:val="32"/>
    </w:rPr>
  </w:style>
  <w:style w:type="table" w:styleId="TableGrid">
    <w:name w:val="Table Grid"/>
    <w:basedOn w:val="TableNormal"/>
    <w:uiPriority w:val="59"/>
    <w:rsid w:val="00750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8B14C4"/>
    <w:rPr>
      <w:rFonts w:asciiTheme="majorHAnsi" w:eastAsiaTheme="majorEastAsia" w:hAnsiTheme="majorHAnsi" w:cstheme="majorBidi"/>
      <w:color w:val="005C8E" w:themeColor="accent1" w:themeShade="BF"/>
      <w:sz w:val="26"/>
      <w:szCs w:val="26"/>
    </w:rPr>
  </w:style>
  <w:style w:type="character" w:customStyle="1" w:styleId="TableHeaderChar">
    <w:name w:val="Table Header Char"/>
    <w:basedOn w:val="Heading2Char"/>
    <w:link w:val="TableHeader"/>
    <w:uiPriority w:val="1"/>
    <w:rsid w:val="008B14C4"/>
    <w:rPr>
      <w:rFonts w:ascii="Arial" w:eastAsiaTheme="majorEastAsia" w:hAnsi="Arial" w:cstheme="majorBidi"/>
      <w:b/>
      <w:color w:val="052049" w:themeColor="text1"/>
      <w:sz w:val="20"/>
      <w:szCs w:val="26"/>
    </w:rPr>
  </w:style>
  <w:style w:type="paragraph" w:styleId="NormalWeb">
    <w:name w:val="Normal (Web)"/>
    <w:basedOn w:val="Normal"/>
    <w:uiPriority w:val="99"/>
    <w:semiHidden/>
    <w:unhideWhenUsed/>
    <w:rsid w:val="0056683C"/>
    <w:pPr>
      <w:spacing w:before="100" w:beforeAutospacing="1" w:after="100" w:afterAutospacing="1"/>
    </w:pPr>
    <w:rPr>
      <w:rFonts w:ascii="Times New Roman" w:eastAsia="Times New Roman" w:hAnsi="Times New Roman" w:cs="Times New Roman"/>
      <w:sz w:val="24"/>
    </w:rPr>
  </w:style>
  <w:style w:type="character" w:styleId="Hyperlink">
    <w:name w:val="Hyperlink"/>
    <w:basedOn w:val="DefaultParagraphFont"/>
    <w:uiPriority w:val="99"/>
    <w:unhideWhenUsed/>
    <w:rsid w:val="009515E7"/>
    <w:rPr>
      <w:color w:val="0000FF" w:themeColor="hyperlink"/>
      <w:u w:val="single"/>
    </w:rPr>
  </w:style>
  <w:style w:type="character" w:styleId="UnresolvedMention">
    <w:name w:val="Unresolved Mention"/>
    <w:basedOn w:val="DefaultParagraphFont"/>
    <w:uiPriority w:val="99"/>
    <w:semiHidden/>
    <w:unhideWhenUsed/>
    <w:rsid w:val="009515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24197">
      <w:bodyDiv w:val="1"/>
      <w:marLeft w:val="0"/>
      <w:marRight w:val="0"/>
      <w:marTop w:val="0"/>
      <w:marBottom w:val="0"/>
      <w:divBdr>
        <w:top w:val="none" w:sz="0" w:space="0" w:color="auto"/>
        <w:left w:val="none" w:sz="0" w:space="0" w:color="auto"/>
        <w:bottom w:val="none" w:sz="0" w:space="0" w:color="auto"/>
        <w:right w:val="none" w:sz="0" w:space="0" w:color="auto"/>
      </w:divBdr>
    </w:div>
    <w:div w:id="927494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UCSF">
      <a:dk1>
        <a:srgbClr val="052049"/>
      </a:dk1>
      <a:lt1>
        <a:sysClr val="window" lastClr="FFFFFF"/>
      </a:lt1>
      <a:dk2>
        <a:srgbClr val="506380"/>
      </a:dk2>
      <a:lt2>
        <a:srgbClr val="EEECE1"/>
      </a:lt2>
      <a:accent1>
        <a:srgbClr val="007CBE"/>
      </a:accent1>
      <a:accent2>
        <a:srgbClr val="EB093C"/>
      </a:accent2>
      <a:accent3>
        <a:srgbClr val="6EA400"/>
      </a:accent3>
      <a:accent4>
        <a:srgbClr val="716FB2"/>
      </a:accent4>
      <a:accent5>
        <a:srgbClr val="058488"/>
      </a:accent5>
      <a:accent6>
        <a:srgbClr val="F26D04"/>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E2051-8004-A84D-AB1C-CF78FC02D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LekasMiller Design</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dc:creator>
  <cp:keywords/>
  <dc:description/>
  <cp:lastModifiedBy>Mijung Park</cp:lastModifiedBy>
  <cp:revision>3</cp:revision>
  <cp:lastPrinted>2015-10-27T03:30:00Z</cp:lastPrinted>
  <dcterms:created xsi:type="dcterms:W3CDTF">2021-11-16T21:35:00Z</dcterms:created>
  <dcterms:modified xsi:type="dcterms:W3CDTF">2021-11-16T21:36:00Z</dcterms:modified>
</cp:coreProperties>
</file>